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r>
        <w:rPr>
          <w:rFonts w:hint="eastAsia" w:ascii="黑体" w:hAnsi="黑体" w:eastAsia="黑体" w:cs="黑体"/>
          <w:sz w:val="32"/>
          <w:szCs w:val="32"/>
        </w:rPr>
        <w:t>附件1</w:t>
      </w:r>
    </w:p>
    <w:p>
      <w:pPr>
        <w:spacing w:line="600" w:lineRule="atLeast"/>
        <w:jc w:val="center"/>
        <w:rPr>
          <w:rFonts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“说专业”案例材料基本要求</w:t>
      </w:r>
    </w:p>
    <w:p>
      <w:pPr>
        <w:ind w:firstLine="640" w:firstLineChars="200"/>
        <w:rPr>
          <w:rFonts w:ascii="黑体" w:hAnsi="黑体" w:eastAsia="黑体" w:cs="黑体"/>
          <w:sz w:val="32"/>
          <w:szCs w:val="32"/>
        </w:rPr>
      </w:pPr>
      <w:r>
        <w:rPr>
          <w:rFonts w:hint="eastAsia" w:ascii="仿宋" w:hAnsi="仿宋" w:eastAsia="仿宋" w:cs="仿宋"/>
          <w:sz w:val="32"/>
          <w:szCs w:val="32"/>
        </w:rPr>
        <w:t>案例须基于全国职业教育大会精神、《职业教育专业目录（2021年）》、《职业教育专业简介（2022年修订）》和《中等职业学校英语课程标准（2020年版）》</w:t>
      </w:r>
      <w:r>
        <w:rPr>
          <w:rFonts w:ascii="仿宋" w:hAnsi="仿宋" w:eastAsia="仿宋" w:cs="仿宋"/>
          <w:sz w:val="32"/>
          <w:szCs w:val="32"/>
        </w:rPr>
        <w:t>《高等职业教育专科英语课程标准（2021年版）》</w:t>
      </w:r>
      <w:r>
        <w:rPr>
          <w:rFonts w:hint="eastAsia" w:ascii="仿宋" w:hAnsi="仿宋" w:eastAsia="仿宋" w:cs="仿宋"/>
          <w:sz w:val="32"/>
          <w:szCs w:val="32"/>
        </w:rPr>
        <w:t>，适应专业升级和数字化转型，聚焦专业岗位能力培养，引领英语学科在新理念、新逻辑、新标准下服务市场、服务专业方面发挥重要战略作用。</w:t>
      </w:r>
    </w:p>
    <w:p>
      <w:pPr>
        <w:ind w:firstLine="640" w:firstLineChars="200"/>
        <w:jc w:val="left"/>
        <w:rPr>
          <w:rFonts w:ascii="黑体" w:hAnsi="黑体" w:eastAsia="黑体" w:cs="黑体"/>
          <w:sz w:val="32"/>
          <w:szCs w:val="32"/>
        </w:rPr>
      </w:pPr>
      <w:r>
        <w:rPr>
          <w:rFonts w:hint="eastAsia" w:ascii="黑体" w:hAnsi="黑体" w:eastAsia="黑体" w:cs="黑体"/>
          <w:sz w:val="32"/>
          <w:szCs w:val="32"/>
        </w:rPr>
        <w:t>一、基本内容</w:t>
      </w:r>
    </w:p>
    <w:p>
      <w:pPr>
        <w:ind w:firstLine="640" w:firstLineChars="200"/>
        <w:rPr>
          <w:rFonts w:ascii="仿宋" w:hAnsi="仿宋" w:eastAsia="仿宋" w:cs="仿宋"/>
          <w:sz w:val="32"/>
          <w:szCs w:val="32"/>
        </w:rPr>
      </w:pPr>
      <w:r>
        <w:rPr>
          <w:rFonts w:hint="eastAsia" w:ascii="仿宋" w:hAnsi="仿宋" w:eastAsia="仿宋" w:cs="仿宋"/>
          <w:sz w:val="32"/>
          <w:szCs w:val="32"/>
        </w:rPr>
        <w:t>1.专业设置依据</w:t>
      </w:r>
    </w:p>
    <w:p>
      <w:pPr>
        <w:ind w:firstLine="640" w:firstLineChars="200"/>
        <w:rPr>
          <w:rFonts w:ascii="仿宋" w:hAnsi="仿宋" w:eastAsia="仿宋" w:cs="仿宋"/>
          <w:sz w:val="32"/>
          <w:szCs w:val="32"/>
        </w:rPr>
      </w:pPr>
      <w:r>
        <w:rPr>
          <w:rFonts w:hint="eastAsia" w:ascii="仿宋" w:hAnsi="仿宋" w:eastAsia="仿宋" w:cs="仿宋"/>
          <w:sz w:val="32"/>
          <w:szCs w:val="32"/>
        </w:rPr>
        <w:t>体现适应专业升级和数字化转型的新理念，对接新产业、新业态、新模式、新职业、新岗位；体现适应区域经济社会发展、行业发展、国际商务环境发展需求的新逻辑；</w:t>
      </w:r>
      <w:r>
        <w:rPr>
          <w:rFonts w:ascii="仿宋" w:hAnsi="仿宋" w:eastAsia="仿宋" w:cs="仿宋"/>
          <w:sz w:val="32"/>
          <w:szCs w:val="32"/>
        </w:rPr>
        <w:t>体现本专业教学标准规定的各要素和人才培养主要环节要求</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2.专业人才培养规格</w:t>
      </w:r>
    </w:p>
    <w:p>
      <w:pPr>
        <w:ind w:firstLine="640" w:firstLineChars="200"/>
        <w:rPr>
          <w:rFonts w:ascii="仿宋" w:hAnsi="仿宋" w:eastAsia="仿宋" w:cs="仿宋"/>
          <w:sz w:val="32"/>
          <w:szCs w:val="32"/>
        </w:rPr>
      </w:pPr>
      <w:r>
        <w:rPr>
          <w:rFonts w:hint="eastAsia" w:ascii="仿宋" w:hAnsi="仿宋" w:eastAsia="仿宋" w:cs="仿宋"/>
          <w:sz w:val="32"/>
          <w:szCs w:val="32"/>
        </w:rPr>
        <w:t>包括</w:t>
      </w:r>
      <w:r>
        <w:rPr>
          <w:rFonts w:hint="eastAsia" w:ascii="仿宋" w:hAnsi="仿宋" w:eastAsia="仿宋" w:cs="仿宋"/>
          <w:bCs/>
          <w:sz w:val="32"/>
          <w:szCs w:val="32"/>
        </w:rPr>
        <w:t>对接各职业岗位对英语的实际需求，适应新一代信息技术发展，面向</w:t>
      </w:r>
      <w:r>
        <w:rPr>
          <w:rFonts w:hint="eastAsia" w:ascii="仿宋" w:hAnsi="仿宋" w:eastAsia="仿宋" w:cs="仿宋"/>
          <w:sz w:val="32"/>
          <w:szCs w:val="32"/>
        </w:rPr>
        <w:t>职业、岗位（群）的人才培养目标与规格，职业技能证书要求等。</w:t>
      </w:r>
    </w:p>
    <w:p>
      <w:pPr>
        <w:ind w:firstLine="640" w:firstLineChars="200"/>
        <w:rPr>
          <w:rFonts w:ascii="仿宋" w:hAnsi="仿宋" w:eastAsia="仿宋" w:cs="仿宋"/>
          <w:sz w:val="32"/>
          <w:szCs w:val="32"/>
        </w:rPr>
      </w:pPr>
      <w:r>
        <w:rPr>
          <w:rFonts w:hint="eastAsia" w:ascii="仿宋" w:hAnsi="仿宋" w:eastAsia="仿宋" w:cs="仿宋"/>
          <w:sz w:val="32"/>
          <w:szCs w:val="32"/>
        </w:rPr>
        <w:t>3.专业课程体系</w:t>
      </w:r>
    </w:p>
    <w:p>
      <w:pPr>
        <w:ind w:firstLine="640" w:firstLineChars="200"/>
        <w:rPr>
          <w:rFonts w:ascii="仿宋" w:hAnsi="仿宋" w:eastAsia="仿宋" w:cs="仿宋"/>
          <w:sz w:val="32"/>
          <w:szCs w:val="32"/>
        </w:rPr>
      </w:pPr>
      <w:r>
        <w:rPr>
          <w:rFonts w:hint="eastAsia" w:ascii="仿宋" w:hAnsi="仿宋" w:eastAsia="仿宋" w:cs="仿宋"/>
          <w:sz w:val="32"/>
          <w:szCs w:val="32"/>
        </w:rPr>
        <w:t>包括依据立德树人和典型工作任务构建的德技并修职教类型课程体系中的公共基础课程、英语专业课程及拓展课程、选修课程、职业发展课程，课程教学模式改革、实践教学体系和教材体系的重构，以及围绕新业态、新技术对专业革新的要求和转型等。</w:t>
      </w:r>
    </w:p>
    <w:p>
      <w:pPr>
        <w:ind w:firstLine="640" w:firstLineChars="200"/>
        <w:rPr>
          <w:rFonts w:ascii="仿宋" w:hAnsi="仿宋" w:eastAsia="仿宋" w:cs="仿宋"/>
          <w:sz w:val="32"/>
          <w:szCs w:val="32"/>
        </w:rPr>
      </w:pPr>
      <w:r>
        <w:rPr>
          <w:rFonts w:hint="eastAsia" w:ascii="仿宋" w:hAnsi="仿宋" w:eastAsia="仿宋" w:cs="仿宋"/>
          <w:sz w:val="32"/>
          <w:szCs w:val="32"/>
        </w:rPr>
        <w:t>4.专业教学改革</w:t>
      </w:r>
    </w:p>
    <w:p>
      <w:pPr>
        <w:ind w:firstLine="640" w:firstLineChars="200"/>
        <w:rPr>
          <w:rFonts w:ascii="仿宋" w:hAnsi="仿宋" w:eastAsia="仿宋" w:cs="仿宋"/>
          <w:sz w:val="32"/>
          <w:szCs w:val="32"/>
        </w:rPr>
      </w:pPr>
      <w:r>
        <w:rPr>
          <w:rFonts w:hint="eastAsia" w:ascii="仿宋" w:hAnsi="仿宋" w:eastAsia="仿宋" w:cs="仿宋"/>
          <w:sz w:val="32"/>
          <w:szCs w:val="32"/>
        </w:rPr>
        <w:t>包括数字化、智能化、系统化专业教学模式改革、教学方法改革，市场</w:t>
      </w:r>
      <w:r>
        <w:rPr>
          <w:rFonts w:hint="eastAsia" w:ascii="仿宋" w:hAnsi="仿宋" w:eastAsia="仿宋" w:cs="仿宋"/>
          <w:bCs/>
          <w:sz w:val="32"/>
          <w:szCs w:val="32"/>
        </w:rPr>
        <w:t>服务能力及</w:t>
      </w:r>
      <w:r>
        <w:rPr>
          <w:rFonts w:hint="eastAsia" w:ascii="仿宋" w:hAnsi="仿宋" w:eastAsia="仿宋" w:cs="仿宋"/>
          <w:sz w:val="32"/>
          <w:szCs w:val="32"/>
        </w:rPr>
        <w:t>岗位专业能力提升，深化产教融合，实践基地提升等。</w:t>
      </w:r>
    </w:p>
    <w:p>
      <w:pPr>
        <w:ind w:firstLine="640" w:firstLineChars="200"/>
        <w:rPr>
          <w:rFonts w:ascii="仿宋" w:hAnsi="仿宋" w:eastAsia="仿宋" w:cs="仿宋"/>
          <w:sz w:val="32"/>
          <w:szCs w:val="32"/>
        </w:rPr>
      </w:pPr>
      <w:r>
        <w:rPr>
          <w:rFonts w:hint="eastAsia" w:ascii="仿宋" w:hAnsi="仿宋" w:eastAsia="仿宋" w:cs="仿宋"/>
          <w:sz w:val="32"/>
          <w:szCs w:val="32"/>
        </w:rPr>
        <w:t>5.专业教学团队塑造</w:t>
      </w:r>
    </w:p>
    <w:p>
      <w:pPr>
        <w:ind w:firstLine="640" w:firstLineChars="200"/>
        <w:rPr>
          <w:rFonts w:ascii="仿宋" w:hAnsi="仿宋" w:eastAsia="仿宋" w:cs="仿宋"/>
          <w:sz w:val="32"/>
          <w:szCs w:val="32"/>
        </w:rPr>
      </w:pPr>
      <w:r>
        <w:rPr>
          <w:rFonts w:hint="eastAsia" w:ascii="仿宋" w:hAnsi="仿宋" w:eastAsia="仿宋" w:cs="仿宋"/>
          <w:sz w:val="32"/>
          <w:szCs w:val="32"/>
        </w:rPr>
        <w:t>包括教师的教育教学能力、数字化水平、师资结构、教研活动创新等。</w:t>
      </w:r>
    </w:p>
    <w:p>
      <w:pPr>
        <w:numPr>
          <w:ilvl w:val="0"/>
          <w:numId w:val="1"/>
        </w:numPr>
        <w:ind w:firstLine="640" w:firstLineChars="200"/>
        <w:jc w:val="left"/>
        <w:rPr>
          <w:rFonts w:ascii="黑体" w:hAnsi="黑体" w:eastAsia="黑体" w:cs="黑体"/>
          <w:sz w:val="32"/>
          <w:szCs w:val="32"/>
        </w:rPr>
      </w:pPr>
      <w:r>
        <w:rPr>
          <w:rFonts w:hint="eastAsia" w:ascii="黑体" w:hAnsi="黑体" w:eastAsia="黑体" w:cs="黑体"/>
          <w:sz w:val="32"/>
          <w:szCs w:val="32"/>
        </w:rPr>
        <w:t>提交材料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1.案例介绍PPT：限时10分钟</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2.文字方案：2000字左右，以PDF、WORD两种格式报送</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3.报名表：按要求填写附表1并加盖学校公章，以普通PDF格式报送</w:t>
      </w:r>
    </w:p>
    <w:p>
      <w:pPr>
        <w:numPr>
          <w:ilvl w:val="0"/>
          <w:numId w:val="1"/>
        </w:numPr>
        <w:ind w:firstLine="640" w:firstLineChars="200"/>
        <w:jc w:val="left"/>
        <w:rPr>
          <w:rFonts w:ascii="黑体" w:hAnsi="黑体" w:eastAsia="黑体" w:cs="黑体"/>
          <w:sz w:val="32"/>
          <w:szCs w:val="32"/>
        </w:rPr>
      </w:pPr>
      <w:r>
        <w:rPr>
          <w:rFonts w:hint="eastAsia" w:ascii="黑体" w:hAnsi="黑体" w:eastAsia="黑体" w:cs="黑体"/>
          <w:sz w:val="32"/>
          <w:szCs w:val="32"/>
        </w:rPr>
        <w:t>观测指标（供参考借鉴）</w:t>
      </w:r>
    </w:p>
    <w:tbl>
      <w:tblPr>
        <w:tblStyle w:val="17"/>
        <w:tblW w:w="9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137"/>
        <w:gridCol w:w="4901"/>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04"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序号</w:t>
            </w:r>
          </w:p>
        </w:tc>
        <w:tc>
          <w:tcPr>
            <w:tcW w:w="2137"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观测指标</w:t>
            </w:r>
          </w:p>
        </w:tc>
        <w:tc>
          <w:tcPr>
            <w:tcW w:w="4901"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标准</w:t>
            </w:r>
          </w:p>
        </w:tc>
        <w:tc>
          <w:tcPr>
            <w:tcW w:w="1177"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pPr>
              <w:jc w:val="center"/>
              <w:rPr>
                <w:rFonts w:ascii="仿宋" w:hAnsi="仿宋" w:eastAsia="仿宋" w:cs="仿宋"/>
                <w:sz w:val="32"/>
                <w:szCs w:val="32"/>
              </w:rPr>
            </w:pPr>
            <w:r>
              <w:rPr>
                <w:rFonts w:hint="eastAsia" w:ascii="仿宋" w:hAnsi="仿宋" w:eastAsia="仿宋" w:cs="仿宋"/>
                <w:sz w:val="32"/>
                <w:szCs w:val="32"/>
              </w:rPr>
              <w:t>01</w:t>
            </w:r>
          </w:p>
        </w:tc>
        <w:tc>
          <w:tcPr>
            <w:tcW w:w="2137" w:type="dxa"/>
            <w:vAlign w:val="center"/>
          </w:tcPr>
          <w:p>
            <w:pPr>
              <w:jc w:val="center"/>
              <w:rPr>
                <w:rFonts w:ascii="仿宋" w:hAnsi="仿宋" w:eastAsia="仿宋" w:cs="仿宋"/>
                <w:sz w:val="32"/>
                <w:szCs w:val="32"/>
              </w:rPr>
            </w:pPr>
            <w:r>
              <w:rPr>
                <w:rFonts w:hint="eastAsia" w:ascii="仿宋" w:hAnsi="仿宋" w:eastAsia="仿宋" w:cs="仿宋"/>
                <w:sz w:val="32"/>
                <w:szCs w:val="32"/>
              </w:rPr>
              <w:t>专业转型与</w:t>
            </w:r>
          </w:p>
          <w:p>
            <w:pPr>
              <w:jc w:val="center"/>
              <w:rPr>
                <w:rFonts w:ascii="仿宋" w:hAnsi="仿宋" w:eastAsia="仿宋" w:cs="仿宋"/>
                <w:sz w:val="32"/>
                <w:szCs w:val="32"/>
              </w:rPr>
            </w:pPr>
            <w:r>
              <w:rPr>
                <w:rFonts w:hint="eastAsia" w:ascii="仿宋" w:hAnsi="仿宋" w:eastAsia="仿宋" w:cs="仿宋"/>
                <w:sz w:val="32"/>
                <w:szCs w:val="32"/>
              </w:rPr>
              <w:t>定位</w:t>
            </w:r>
          </w:p>
        </w:tc>
        <w:tc>
          <w:tcPr>
            <w:tcW w:w="4901" w:type="dxa"/>
            <w:vAlign w:val="center"/>
          </w:tcPr>
          <w:p>
            <w:pPr>
              <w:jc w:val="left"/>
              <w:rPr>
                <w:rFonts w:ascii="仿宋" w:hAnsi="仿宋" w:eastAsia="仿宋" w:cs="仿宋"/>
                <w:sz w:val="32"/>
                <w:szCs w:val="32"/>
              </w:rPr>
            </w:pPr>
            <w:r>
              <w:rPr>
                <w:rFonts w:hint="eastAsia" w:ascii="仿宋" w:hAnsi="仿宋" w:eastAsia="仿宋" w:cs="仿宋"/>
                <w:sz w:val="32"/>
                <w:szCs w:val="32"/>
              </w:rPr>
              <w:t>基于数字化、智能化发展，专业设置紧跟数字经济时代行业、产业的变革步伐，对接《职业教育专业目录（2021年）》各专业大类，对接各职业岗位对英语的实际需求；面向区域产业发展的新需求，以区域产业结构和人才需求的变化趋势作为依据，确定专业定位和专业转型。</w:t>
            </w:r>
          </w:p>
        </w:tc>
        <w:tc>
          <w:tcPr>
            <w:tcW w:w="1177" w:type="dxa"/>
            <w:vAlign w:val="center"/>
          </w:tcPr>
          <w:p>
            <w:pPr>
              <w:jc w:val="center"/>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pPr>
              <w:jc w:val="center"/>
              <w:rPr>
                <w:rFonts w:ascii="仿宋" w:hAnsi="仿宋" w:eastAsia="仿宋" w:cs="仿宋"/>
                <w:sz w:val="32"/>
                <w:szCs w:val="32"/>
              </w:rPr>
            </w:pPr>
            <w:r>
              <w:rPr>
                <w:rFonts w:hint="eastAsia" w:ascii="仿宋" w:hAnsi="仿宋" w:eastAsia="仿宋" w:cs="仿宋"/>
                <w:sz w:val="32"/>
                <w:szCs w:val="32"/>
              </w:rPr>
              <w:t>02</w:t>
            </w:r>
          </w:p>
        </w:tc>
        <w:tc>
          <w:tcPr>
            <w:tcW w:w="2137" w:type="dxa"/>
            <w:vAlign w:val="center"/>
          </w:tcPr>
          <w:p>
            <w:pPr>
              <w:jc w:val="center"/>
              <w:rPr>
                <w:rFonts w:ascii="仿宋" w:hAnsi="仿宋" w:eastAsia="仿宋" w:cs="仿宋"/>
                <w:sz w:val="32"/>
                <w:szCs w:val="32"/>
              </w:rPr>
            </w:pPr>
            <w:r>
              <w:rPr>
                <w:rFonts w:hint="eastAsia" w:ascii="仿宋" w:hAnsi="仿宋" w:eastAsia="仿宋" w:cs="仿宋"/>
                <w:sz w:val="32"/>
                <w:szCs w:val="32"/>
              </w:rPr>
              <w:t>专业人才培养目标</w:t>
            </w:r>
          </w:p>
        </w:tc>
        <w:tc>
          <w:tcPr>
            <w:tcW w:w="4901" w:type="dxa"/>
            <w:vAlign w:val="center"/>
          </w:tcPr>
          <w:p>
            <w:pPr>
              <w:jc w:val="left"/>
              <w:rPr>
                <w:rFonts w:ascii="仿宋" w:hAnsi="仿宋" w:eastAsia="仿宋" w:cs="仿宋"/>
                <w:sz w:val="32"/>
                <w:szCs w:val="32"/>
              </w:rPr>
            </w:pPr>
            <w:r>
              <w:rPr>
                <w:rFonts w:hint="eastAsia" w:ascii="仿宋" w:hAnsi="仿宋" w:eastAsia="仿宋" w:cs="仿宋"/>
                <w:bCs/>
                <w:sz w:val="32"/>
                <w:szCs w:val="32"/>
              </w:rPr>
              <w:t>服务专业升级，适应产业发展，</w:t>
            </w:r>
            <w:r>
              <w:rPr>
                <w:rFonts w:hint="eastAsia" w:ascii="仿宋" w:hAnsi="仿宋" w:eastAsia="仿宋" w:cs="仿宋"/>
                <w:sz w:val="32"/>
                <w:szCs w:val="32"/>
              </w:rPr>
              <w:t>根据专业在数字经济时代背景下的转型与定位，明确人才培养方向；聚焦专业岗位能力培养，将专业知识、语言能力、职业素养培养有机融合，依据职业标准与个体发展需求，明确具体的知识、能力结构和职业素养要求等人才培养规格。</w:t>
            </w:r>
          </w:p>
        </w:tc>
        <w:tc>
          <w:tcPr>
            <w:tcW w:w="1177" w:type="dxa"/>
            <w:vAlign w:val="center"/>
          </w:tcPr>
          <w:p>
            <w:pPr>
              <w:jc w:val="center"/>
              <w:rPr>
                <w:rFonts w:ascii="仿宋" w:hAnsi="仿宋" w:eastAsia="仿宋" w:cs="仿宋"/>
                <w:sz w:val="32"/>
                <w:szCs w:val="32"/>
              </w:rPr>
            </w:pPr>
            <w:r>
              <w:rPr>
                <w:rFonts w:hint="eastAsia" w:ascii="仿宋" w:hAnsi="仿宋" w:eastAsia="仿宋" w:cs="仿宋"/>
                <w:sz w:val="32"/>
                <w:szCs w:val="3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pPr>
              <w:jc w:val="center"/>
              <w:rPr>
                <w:rFonts w:ascii="仿宋" w:hAnsi="仿宋" w:eastAsia="仿宋" w:cs="仿宋"/>
                <w:sz w:val="32"/>
                <w:szCs w:val="32"/>
              </w:rPr>
            </w:pPr>
            <w:r>
              <w:rPr>
                <w:rFonts w:hint="eastAsia" w:ascii="仿宋" w:hAnsi="仿宋" w:eastAsia="仿宋" w:cs="仿宋"/>
                <w:sz w:val="32"/>
                <w:szCs w:val="32"/>
              </w:rPr>
              <w:t>03</w:t>
            </w:r>
          </w:p>
        </w:tc>
        <w:tc>
          <w:tcPr>
            <w:tcW w:w="2137" w:type="dxa"/>
            <w:vAlign w:val="center"/>
          </w:tcPr>
          <w:p>
            <w:pPr>
              <w:jc w:val="center"/>
              <w:rPr>
                <w:rFonts w:ascii="仿宋" w:hAnsi="仿宋" w:eastAsia="仿宋" w:cs="仿宋"/>
                <w:sz w:val="32"/>
                <w:szCs w:val="32"/>
              </w:rPr>
            </w:pPr>
            <w:r>
              <w:rPr>
                <w:rFonts w:hint="eastAsia" w:ascii="仿宋" w:hAnsi="仿宋" w:eastAsia="仿宋" w:cs="仿宋"/>
                <w:sz w:val="32"/>
                <w:szCs w:val="32"/>
              </w:rPr>
              <w:t>专业课程体系和课程建设</w:t>
            </w:r>
          </w:p>
        </w:tc>
        <w:tc>
          <w:tcPr>
            <w:tcW w:w="4901" w:type="dxa"/>
            <w:vAlign w:val="center"/>
          </w:tcPr>
          <w:p>
            <w:pPr>
              <w:jc w:val="left"/>
              <w:rPr>
                <w:rFonts w:ascii="仿宋" w:hAnsi="仿宋" w:eastAsia="仿宋" w:cs="仿宋"/>
                <w:sz w:val="32"/>
                <w:szCs w:val="32"/>
              </w:rPr>
            </w:pPr>
            <w:r>
              <w:rPr>
                <w:rFonts w:hint="eastAsia" w:ascii="仿宋" w:hAnsi="仿宋" w:eastAsia="仿宋" w:cs="仿宋"/>
                <w:sz w:val="32"/>
                <w:szCs w:val="32"/>
              </w:rPr>
              <w:t>根据专业人才培养目标、职业岗位（群）典型工作任务和能力要求，明确英语专业核心课程、公共课程等各课程的任务要求及其在课程体系中的定位；科学构建课程教学模式、教材体系等；将V</w:t>
            </w:r>
            <w:r>
              <w:rPr>
                <w:rFonts w:ascii="仿宋" w:hAnsi="仿宋" w:eastAsia="仿宋" w:cs="仿宋"/>
                <w:sz w:val="32"/>
                <w:szCs w:val="32"/>
              </w:rPr>
              <w:t>ETS</w:t>
            </w:r>
            <w:r>
              <w:rPr>
                <w:rFonts w:hint="eastAsia" w:ascii="仿宋" w:hAnsi="仿宋" w:eastAsia="仿宋" w:cs="仿宋"/>
                <w:sz w:val="32"/>
                <w:szCs w:val="32"/>
              </w:rPr>
              <w:t>实用英语交际职业技能等级标准融入专业课程体系，实现岗课赛证有机融通。</w:t>
            </w:r>
          </w:p>
        </w:tc>
        <w:tc>
          <w:tcPr>
            <w:tcW w:w="1177" w:type="dxa"/>
            <w:vAlign w:val="center"/>
          </w:tcPr>
          <w:p>
            <w:pPr>
              <w:jc w:val="center"/>
              <w:rPr>
                <w:rFonts w:ascii="仿宋" w:hAnsi="仿宋" w:eastAsia="仿宋" w:cs="仿宋"/>
                <w:sz w:val="32"/>
                <w:szCs w:val="32"/>
              </w:rPr>
            </w:pPr>
            <w:r>
              <w:rPr>
                <w:rFonts w:hint="eastAsia" w:ascii="仿宋" w:hAnsi="仿宋" w:eastAsia="仿宋" w:cs="仿宋"/>
                <w:sz w:val="32"/>
                <w:szCs w:val="32"/>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pPr>
              <w:jc w:val="center"/>
              <w:rPr>
                <w:rFonts w:ascii="仿宋" w:hAnsi="仿宋" w:eastAsia="仿宋" w:cs="仿宋"/>
                <w:sz w:val="32"/>
                <w:szCs w:val="32"/>
              </w:rPr>
            </w:pPr>
            <w:r>
              <w:rPr>
                <w:rFonts w:hint="eastAsia" w:ascii="仿宋" w:hAnsi="仿宋" w:eastAsia="仿宋" w:cs="仿宋"/>
                <w:sz w:val="32"/>
                <w:szCs w:val="32"/>
              </w:rPr>
              <w:t>04</w:t>
            </w:r>
          </w:p>
        </w:tc>
        <w:tc>
          <w:tcPr>
            <w:tcW w:w="2137" w:type="dxa"/>
            <w:vAlign w:val="center"/>
          </w:tcPr>
          <w:p>
            <w:pPr>
              <w:jc w:val="center"/>
              <w:rPr>
                <w:rFonts w:ascii="仿宋" w:hAnsi="仿宋" w:eastAsia="仿宋" w:cs="仿宋"/>
                <w:sz w:val="32"/>
                <w:szCs w:val="32"/>
              </w:rPr>
            </w:pPr>
            <w:r>
              <w:rPr>
                <w:rFonts w:hint="eastAsia" w:ascii="仿宋" w:hAnsi="仿宋" w:eastAsia="仿宋" w:cs="仿宋"/>
                <w:sz w:val="32"/>
                <w:szCs w:val="32"/>
              </w:rPr>
              <w:t>专业教学团队</w:t>
            </w:r>
          </w:p>
        </w:tc>
        <w:tc>
          <w:tcPr>
            <w:tcW w:w="4901" w:type="dxa"/>
            <w:vAlign w:val="center"/>
          </w:tcPr>
          <w:p>
            <w:pPr>
              <w:jc w:val="left"/>
              <w:rPr>
                <w:rFonts w:ascii="仿宋" w:hAnsi="仿宋" w:eastAsia="仿宋" w:cs="仿宋"/>
                <w:sz w:val="32"/>
                <w:szCs w:val="32"/>
              </w:rPr>
            </w:pPr>
            <w:r>
              <w:rPr>
                <w:rFonts w:hint="eastAsia" w:ascii="仿宋" w:hAnsi="仿宋" w:eastAsia="仿宋" w:cs="仿宋"/>
                <w:sz w:val="32"/>
                <w:szCs w:val="32"/>
              </w:rPr>
              <w:t>组建高水平、结构化英语专业教师教学创新团队，践行三教改革，推动课堂革命；建设学校和行业、企业相结合的师资联动机制，利用社会资源提升教师专业水平和实践能力。</w:t>
            </w:r>
            <w:r>
              <w:rPr>
                <w:rFonts w:ascii="仿宋" w:hAnsi="仿宋" w:eastAsia="仿宋" w:cs="仿宋"/>
                <w:sz w:val="32"/>
                <w:szCs w:val="32"/>
              </w:rPr>
              <w:t xml:space="preserve"> </w:t>
            </w:r>
          </w:p>
        </w:tc>
        <w:tc>
          <w:tcPr>
            <w:tcW w:w="1177" w:type="dxa"/>
            <w:vAlign w:val="center"/>
          </w:tcPr>
          <w:p>
            <w:pPr>
              <w:jc w:val="center"/>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pPr>
              <w:jc w:val="center"/>
              <w:rPr>
                <w:rFonts w:ascii="仿宋" w:hAnsi="仿宋" w:eastAsia="仿宋" w:cs="仿宋"/>
                <w:sz w:val="32"/>
                <w:szCs w:val="32"/>
              </w:rPr>
            </w:pPr>
            <w:r>
              <w:rPr>
                <w:rFonts w:hint="eastAsia" w:ascii="仿宋" w:hAnsi="仿宋" w:eastAsia="仿宋" w:cs="仿宋"/>
                <w:sz w:val="32"/>
                <w:szCs w:val="32"/>
              </w:rPr>
              <w:t>05</w:t>
            </w:r>
          </w:p>
        </w:tc>
        <w:tc>
          <w:tcPr>
            <w:tcW w:w="2137" w:type="dxa"/>
            <w:vAlign w:val="center"/>
          </w:tcPr>
          <w:p>
            <w:pPr>
              <w:jc w:val="center"/>
              <w:rPr>
                <w:rFonts w:ascii="仿宋" w:hAnsi="仿宋" w:eastAsia="仿宋" w:cs="仿宋"/>
                <w:sz w:val="32"/>
                <w:szCs w:val="32"/>
              </w:rPr>
            </w:pPr>
            <w:r>
              <w:rPr>
                <w:rFonts w:hint="eastAsia" w:ascii="仿宋" w:hAnsi="仿宋" w:eastAsia="仿宋" w:cs="仿宋"/>
                <w:sz w:val="32"/>
                <w:szCs w:val="32"/>
              </w:rPr>
              <w:t>专业建设成效</w:t>
            </w:r>
          </w:p>
        </w:tc>
        <w:tc>
          <w:tcPr>
            <w:tcW w:w="4901" w:type="dxa"/>
            <w:vAlign w:val="center"/>
          </w:tcPr>
          <w:p>
            <w:pPr>
              <w:jc w:val="left"/>
              <w:rPr>
                <w:rFonts w:ascii="仿宋" w:hAnsi="仿宋" w:eastAsia="仿宋" w:cs="仿宋"/>
                <w:sz w:val="32"/>
                <w:szCs w:val="32"/>
              </w:rPr>
            </w:pPr>
            <w:r>
              <w:rPr>
                <w:rFonts w:hint="eastAsia" w:ascii="仿宋" w:hAnsi="仿宋" w:eastAsia="仿宋" w:cs="仿宋"/>
                <w:sz w:val="32"/>
                <w:szCs w:val="32"/>
              </w:rPr>
              <w:t>专业课程体系建设、教材与教法改革、实践教学基地建设等方面成效显著，学生就业率高，就业质量好；在学术研究、社会服务、国际交流与合作、教师发展等方面的成果数量大、质量高；专业建设引领职业教育改革、支撑相关产业发展的成效显著。</w:t>
            </w:r>
          </w:p>
        </w:tc>
        <w:tc>
          <w:tcPr>
            <w:tcW w:w="1177" w:type="dxa"/>
            <w:vAlign w:val="center"/>
          </w:tcPr>
          <w:p>
            <w:pPr>
              <w:jc w:val="center"/>
              <w:rPr>
                <w:rFonts w:ascii="仿宋" w:hAnsi="仿宋" w:eastAsia="仿宋" w:cs="仿宋"/>
                <w:sz w:val="32"/>
                <w:szCs w:val="32"/>
              </w:rPr>
            </w:pPr>
            <w:r>
              <w:rPr>
                <w:rFonts w:hint="eastAsia" w:ascii="仿宋" w:hAnsi="仿宋" w:eastAsia="仿宋" w:cs="仿宋"/>
                <w:sz w:val="32"/>
                <w:szCs w:val="3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pPr>
              <w:jc w:val="center"/>
              <w:rPr>
                <w:rFonts w:ascii="仿宋" w:hAnsi="仿宋" w:eastAsia="仿宋" w:cs="仿宋"/>
                <w:sz w:val="32"/>
                <w:szCs w:val="32"/>
              </w:rPr>
            </w:pPr>
            <w:r>
              <w:rPr>
                <w:rFonts w:hint="eastAsia" w:ascii="仿宋" w:hAnsi="仿宋" w:eastAsia="仿宋" w:cs="仿宋"/>
                <w:sz w:val="32"/>
                <w:szCs w:val="32"/>
              </w:rPr>
              <w:t>06</w:t>
            </w:r>
          </w:p>
        </w:tc>
        <w:tc>
          <w:tcPr>
            <w:tcW w:w="2137" w:type="dxa"/>
            <w:vAlign w:val="center"/>
          </w:tcPr>
          <w:p>
            <w:pPr>
              <w:jc w:val="center"/>
              <w:rPr>
                <w:rFonts w:ascii="仿宋" w:hAnsi="仿宋" w:eastAsia="仿宋" w:cs="仿宋"/>
                <w:sz w:val="32"/>
                <w:szCs w:val="32"/>
              </w:rPr>
            </w:pPr>
            <w:r>
              <w:rPr>
                <w:rFonts w:hint="eastAsia" w:ascii="仿宋" w:hAnsi="仿宋" w:eastAsia="仿宋" w:cs="仿宋"/>
                <w:sz w:val="32"/>
                <w:szCs w:val="32"/>
              </w:rPr>
              <w:t>特色与创新</w:t>
            </w:r>
          </w:p>
        </w:tc>
        <w:tc>
          <w:tcPr>
            <w:tcW w:w="4901" w:type="dxa"/>
            <w:vAlign w:val="center"/>
          </w:tcPr>
          <w:p>
            <w:pPr>
              <w:jc w:val="left"/>
              <w:rPr>
                <w:rFonts w:ascii="仿宋" w:hAnsi="仿宋" w:eastAsia="仿宋" w:cs="仿宋"/>
                <w:sz w:val="32"/>
                <w:szCs w:val="32"/>
              </w:rPr>
            </w:pPr>
            <w:r>
              <w:rPr>
                <w:rFonts w:hint="eastAsia" w:ascii="仿宋" w:hAnsi="仿宋" w:eastAsia="仿宋" w:cs="仿宋"/>
                <w:sz w:val="32"/>
                <w:szCs w:val="32"/>
              </w:rPr>
              <w:t>专业特色鲜明，品牌效应明显；所形成的数字化转型模式在专业建设中可借鉴、可示范、可推广。</w:t>
            </w:r>
          </w:p>
        </w:tc>
        <w:tc>
          <w:tcPr>
            <w:tcW w:w="1177" w:type="dxa"/>
            <w:vAlign w:val="center"/>
          </w:tcPr>
          <w:p>
            <w:pPr>
              <w:jc w:val="center"/>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42" w:type="dxa"/>
            <w:gridSpan w:val="3"/>
            <w:vAlign w:val="center"/>
          </w:tcPr>
          <w:p>
            <w:pPr>
              <w:jc w:val="center"/>
              <w:rPr>
                <w:rFonts w:ascii="仿宋" w:hAnsi="仿宋" w:eastAsia="仿宋" w:cs="仿宋"/>
                <w:sz w:val="32"/>
                <w:szCs w:val="32"/>
              </w:rPr>
            </w:pPr>
            <w:r>
              <w:rPr>
                <w:rFonts w:hint="eastAsia" w:ascii="仿宋" w:hAnsi="仿宋" w:eastAsia="仿宋" w:cs="仿宋"/>
                <w:sz w:val="32"/>
                <w:szCs w:val="32"/>
              </w:rPr>
              <w:t>合计</w:t>
            </w:r>
          </w:p>
        </w:tc>
        <w:tc>
          <w:tcPr>
            <w:tcW w:w="1177" w:type="dxa"/>
            <w:vAlign w:val="center"/>
          </w:tcPr>
          <w:p>
            <w:pPr>
              <w:jc w:val="center"/>
              <w:rPr>
                <w:rFonts w:ascii="仿宋" w:hAnsi="仿宋" w:eastAsia="仿宋" w:cs="仿宋"/>
                <w:sz w:val="32"/>
                <w:szCs w:val="32"/>
              </w:rPr>
            </w:pPr>
            <w:r>
              <w:rPr>
                <w:rFonts w:hint="eastAsia" w:ascii="仿宋" w:hAnsi="仿宋" w:eastAsia="仿宋" w:cs="仿宋"/>
                <w:sz w:val="32"/>
                <w:szCs w:val="32"/>
              </w:rPr>
              <w:t>100</w:t>
            </w:r>
          </w:p>
        </w:tc>
      </w:tr>
    </w:tbl>
    <w:p>
      <w:r>
        <w:rPr>
          <w:rFonts w:hint="eastAsia" w:ascii="黑体" w:hAnsi="黑体" w:eastAsia="黑体" w:cs="黑体"/>
          <w:sz w:val="28"/>
          <w:szCs w:val="28"/>
        </w:rPr>
        <w:br w:type="page"/>
      </w:r>
    </w:p>
    <w:p>
      <w:pPr>
        <w:jc w:val="left"/>
        <w:rPr>
          <w:rFonts w:ascii="黑体" w:hAnsi="黑体" w:eastAsia="黑体" w:cs="黑体"/>
          <w:sz w:val="28"/>
          <w:szCs w:val="28"/>
        </w:rPr>
      </w:pPr>
      <w:r>
        <w:rPr>
          <w:rFonts w:hint="eastAsia" w:ascii="黑体" w:hAnsi="黑体" w:eastAsia="黑体" w:cs="黑体"/>
          <w:sz w:val="28"/>
          <w:szCs w:val="28"/>
        </w:rPr>
        <w:t>附表1</w:t>
      </w:r>
    </w:p>
    <w:p>
      <w:pPr>
        <w:jc w:val="center"/>
        <w:rPr>
          <w:rFonts w:ascii="黑体" w:hAnsi="黑体" w:eastAsia="黑体" w:cs="黑体"/>
          <w:sz w:val="28"/>
          <w:szCs w:val="28"/>
        </w:rPr>
      </w:pPr>
      <w:r>
        <w:rPr>
          <w:rFonts w:hint="eastAsia" w:ascii="黑体" w:hAnsi="黑体" w:eastAsia="黑体" w:cs="黑体"/>
          <w:sz w:val="28"/>
          <w:szCs w:val="28"/>
        </w:rPr>
        <w:t>“说专业”案例材料</w:t>
      </w:r>
    </w:p>
    <w:p>
      <w:pPr>
        <w:jc w:val="center"/>
        <w:rPr>
          <w:rFonts w:ascii="黑体" w:hAnsi="黑体" w:eastAsia="黑体" w:cs="黑体"/>
          <w:sz w:val="28"/>
          <w:szCs w:val="28"/>
        </w:rPr>
      </w:pPr>
      <w:r>
        <w:rPr>
          <w:rFonts w:ascii="黑体" w:hAnsi="黑体" w:eastAsia="黑体" w:cs="黑体"/>
          <w:sz w:val="28"/>
          <w:szCs w:val="28"/>
        </w:rPr>
        <w:t>报名表</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5"/>
        <w:gridCol w:w="1791"/>
        <w:gridCol w:w="673"/>
        <w:gridCol w:w="872"/>
        <w:gridCol w:w="971"/>
        <w:gridCol w:w="1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497" w:type="dxa"/>
            <w:vMerge w:val="restart"/>
            <w:vAlign w:val="center"/>
          </w:tcPr>
          <w:p>
            <w:pPr>
              <w:jc w:val="center"/>
              <w:rPr>
                <w:rFonts w:ascii="仿宋" w:hAnsi="仿宋" w:eastAsia="仿宋" w:cs="仿宋"/>
                <w:sz w:val="28"/>
                <w:szCs w:val="28"/>
              </w:rPr>
            </w:pPr>
            <w:r>
              <w:rPr>
                <w:rFonts w:hint="eastAsia" w:ascii="仿宋" w:hAnsi="仿宋" w:eastAsia="仿宋" w:cs="仿宋"/>
                <w:sz w:val="28"/>
                <w:szCs w:val="28"/>
              </w:rPr>
              <w:t>省（自治区、直辖市、计划单列市）</w:t>
            </w:r>
          </w:p>
        </w:tc>
        <w:tc>
          <w:tcPr>
            <w:tcW w:w="1750" w:type="dxa"/>
            <w:vMerge w:val="restart"/>
            <w:vAlign w:val="center"/>
          </w:tcPr>
          <w:p>
            <w:pPr>
              <w:jc w:val="center"/>
              <w:rPr>
                <w:rFonts w:ascii="仿宋" w:hAnsi="仿宋" w:eastAsia="仿宋" w:cs="仿宋"/>
                <w:sz w:val="28"/>
                <w:szCs w:val="28"/>
              </w:rPr>
            </w:pPr>
          </w:p>
        </w:tc>
        <w:tc>
          <w:tcPr>
            <w:tcW w:w="1510"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学校属性</w:t>
            </w:r>
          </w:p>
        </w:tc>
        <w:tc>
          <w:tcPr>
            <w:tcW w:w="2762" w:type="dxa"/>
            <w:gridSpan w:val="2"/>
            <w:vAlign w:val="center"/>
          </w:tcPr>
          <w:p>
            <w:pPr>
              <w:jc w:val="center"/>
              <w:rPr>
                <w:rFonts w:ascii="仿宋" w:hAnsi="仿宋" w:eastAsia="仿宋" w:cs="仿宋"/>
                <w:sz w:val="28"/>
                <w:szCs w:val="28"/>
              </w:rPr>
            </w:pPr>
            <w:r>
              <w:rPr>
                <w:rFonts w:ascii="仿宋" w:hAnsi="仿宋" w:eastAsia="仿宋" w:cs="仿宋"/>
                <w:sz w:val="28"/>
                <w:szCs w:val="28"/>
              </w:rPr>
              <w:sym w:font="Wingdings 2" w:char="00A3"/>
            </w:r>
            <w:r>
              <w:rPr>
                <w:rFonts w:hint="eastAsia" w:ascii="仿宋" w:hAnsi="仿宋" w:eastAsia="仿宋" w:cs="仿宋"/>
                <w:sz w:val="28"/>
                <w:szCs w:val="28"/>
              </w:rPr>
              <w:t xml:space="preserve">中职 </w:t>
            </w:r>
            <w:r>
              <w:rPr>
                <w:rFonts w:ascii="仿宋" w:hAnsi="仿宋" w:eastAsia="仿宋" w:cs="仿宋"/>
                <w:sz w:val="28"/>
                <w:szCs w:val="28"/>
              </w:rPr>
              <w:sym w:font="Wingdings 2" w:char="00A3"/>
            </w:r>
            <w:r>
              <w:rPr>
                <w:rFonts w:hint="eastAsia" w:ascii="仿宋" w:hAnsi="仿宋" w:eastAsia="仿宋" w:cs="仿宋"/>
                <w:sz w:val="28"/>
                <w:szCs w:val="28"/>
              </w:rPr>
              <w:t>高职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497" w:type="dxa"/>
            <w:vMerge w:val="continue"/>
            <w:vAlign w:val="center"/>
          </w:tcPr>
          <w:p>
            <w:pPr>
              <w:jc w:val="center"/>
            </w:pPr>
          </w:p>
        </w:tc>
        <w:tc>
          <w:tcPr>
            <w:tcW w:w="1750" w:type="dxa"/>
            <w:vMerge w:val="continue"/>
            <w:vAlign w:val="center"/>
          </w:tcPr>
          <w:p>
            <w:pPr>
              <w:jc w:val="center"/>
            </w:pPr>
          </w:p>
        </w:tc>
        <w:tc>
          <w:tcPr>
            <w:tcW w:w="1510" w:type="dxa"/>
            <w:gridSpan w:val="2"/>
            <w:vAlign w:val="center"/>
          </w:tcPr>
          <w:p>
            <w:pPr>
              <w:jc w:val="center"/>
            </w:pPr>
            <w:r>
              <w:rPr>
                <w:rFonts w:hint="eastAsia" w:ascii="仿宋" w:hAnsi="仿宋" w:eastAsia="仿宋" w:cs="仿宋"/>
                <w:sz w:val="28"/>
                <w:szCs w:val="28"/>
              </w:rPr>
              <w:t>学校名称</w:t>
            </w:r>
          </w:p>
        </w:tc>
        <w:tc>
          <w:tcPr>
            <w:tcW w:w="2762" w:type="dxa"/>
            <w:gridSpan w:val="2"/>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497" w:type="dxa"/>
            <w:vAlign w:val="center"/>
          </w:tcPr>
          <w:p>
            <w:pPr>
              <w:jc w:val="center"/>
              <w:rPr>
                <w:rFonts w:ascii="仿宋" w:hAnsi="仿宋" w:eastAsia="仿宋" w:cs="仿宋"/>
                <w:sz w:val="28"/>
                <w:szCs w:val="28"/>
              </w:rPr>
            </w:pPr>
            <w:r>
              <w:rPr>
                <w:rFonts w:hint="eastAsia" w:ascii="仿宋" w:hAnsi="仿宋" w:eastAsia="仿宋" w:cs="仿宋"/>
                <w:sz w:val="28"/>
                <w:szCs w:val="28"/>
              </w:rPr>
              <w:t>团队负责人姓名</w:t>
            </w:r>
          </w:p>
        </w:tc>
        <w:tc>
          <w:tcPr>
            <w:tcW w:w="1750" w:type="dxa"/>
            <w:vAlign w:val="center"/>
          </w:tcPr>
          <w:p>
            <w:pPr>
              <w:jc w:val="center"/>
              <w:rPr>
                <w:rFonts w:ascii="仿宋" w:hAnsi="仿宋" w:eastAsia="仿宋" w:cs="仿宋"/>
                <w:sz w:val="28"/>
                <w:szCs w:val="28"/>
              </w:rPr>
            </w:pPr>
          </w:p>
        </w:tc>
        <w:tc>
          <w:tcPr>
            <w:tcW w:w="1510"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职务</w:t>
            </w:r>
          </w:p>
        </w:tc>
        <w:tc>
          <w:tcPr>
            <w:tcW w:w="2762" w:type="dxa"/>
            <w:gridSpan w:val="2"/>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497" w:type="dxa"/>
            <w:vAlign w:val="center"/>
          </w:tcPr>
          <w:p>
            <w:pPr>
              <w:jc w:val="center"/>
              <w:rPr>
                <w:rFonts w:ascii="仿宋" w:hAnsi="仿宋" w:eastAsia="仿宋" w:cs="仿宋"/>
                <w:sz w:val="28"/>
                <w:szCs w:val="28"/>
              </w:rPr>
            </w:pPr>
            <w:r>
              <w:rPr>
                <w:rFonts w:hint="eastAsia" w:ascii="仿宋" w:hAnsi="仿宋" w:eastAsia="仿宋" w:cs="仿宋"/>
                <w:sz w:val="28"/>
                <w:szCs w:val="28"/>
              </w:rPr>
              <w:t>联系电话</w:t>
            </w:r>
          </w:p>
        </w:tc>
        <w:tc>
          <w:tcPr>
            <w:tcW w:w="1750" w:type="dxa"/>
            <w:vAlign w:val="center"/>
          </w:tcPr>
          <w:p>
            <w:pPr>
              <w:jc w:val="center"/>
              <w:rPr>
                <w:rFonts w:ascii="仿宋" w:hAnsi="仿宋" w:eastAsia="仿宋" w:cs="仿宋"/>
                <w:sz w:val="28"/>
                <w:szCs w:val="28"/>
              </w:rPr>
            </w:pPr>
          </w:p>
        </w:tc>
        <w:tc>
          <w:tcPr>
            <w:tcW w:w="1510"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邮箱</w:t>
            </w:r>
          </w:p>
        </w:tc>
        <w:tc>
          <w:tcPr>
            <w:tcW w:w="2762" w:type="dxa"/>
            <w:gridSpan w:val="2"/>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497" w:type="dxa"/>
            <w:vAlign w:val="center"/>
          </w:tcPr>
          <w:p>
            <w:pPr>
              <w:jc w:val="center"/>
              <w:rPr>
                <w:rFonts w:ascii="仿宋" w:hAnsi="仿宋" w:eastAsia="仿宋" w:cs="仿宋"/>
                <w:sz w:val="28"/>
                <w:szCs w:val="28"/>
              </w:rPr>
            </w:pPr>
            <w:r>
              <w:rPr>
                <w:rFonts w:hint="eastAsia" w:ascii="仿宋" w:hAnsi="仿宋" w:eastAsia="仿宋" w:cs="仿宋"/>
                <w:sz w:val="28"/>
                <w:szCs w:val="28"/>
              </w:rPr>
              <w:t>案例名称</w:t>
            </w:r>
          </w:p>
        </w:tc>
        <w:tc>
          <w:tcPr>
            <w:tcW w:w="6022" w:type="dxa"/>
            <w:gridSpan w:val="5"/>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9" w:type="dxa"/>
            <w:gridSpan w:val="6"/>
            <w:vAlign w:val="center"/>
          </w:tcPr>
          <w:p>
            <w:pPr>
              <w:jc w:val="center"/>
              <w:rPr>
                <w:rFonts w:ascii="仿宋" w:hAnsi="仿宋" w:eastAsia="仿宋" w:cs="仿宋"/>
                <w:sz w:val="28"/>
                <w:szCs w:val="28"/>
              </w:rPr>
            </w:pPr>
            <w:r>
              <w:rPr>
                <w:rFonts w:hint="eastAsia" w:ascii="仿宋" w:hAnsi="仿宋" w:eastAsia="仿宋" w:cs="仿宋"/>
                <w:b/>
                <w:bCs/>
                <w:sz w:val="28"/>
                <w:szCs w:val="28"/>
              </w:rPr>
              <w:t>团队成员信息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7" w:type="dxa"/>
            <w:vAlign w:val="center"/>
          </w:tcPr>
          <w:p>
            <w:pPr>
              <w:jc w:val="center"/>
              <w:rPr>
                <w:rFonts w:ascii="仿宋" w:hAnsi="仿宋" w:eastAsia="仿宋" w:cs="仿宋"/>
                <w:sz w:val="28"/>
                <w:szCs w:val="28"/>
              </w:rPr>
            </w:pPr>
            <w:r>
              <w:rPr>
                <w:rFonts w:hint="eastAsia" w:ascii="仿宋" w:hAnsi="仿宋" w:eastAsia="仿宋" w:cs="仿宋"/>
                <w:sz w:val="28"/>
                <w:szCs w:val="28"/>
              </w:rPr>
              <w:t>姓名</w:t>
            </w:r>
          </w:p>
        </w:tc>
        <w:tc>
          <w:tcPr>
            <w:tcW w:w="2408"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联系电话</w:t>
            </w:r>
          </w:p>
        </w:tc>
        <w:tc>
          <w:tcPr>
            <w:tcW w:w="1801"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电子邮箱</w:t>
            </w:r>
          </w:p>
        </w:tc>
        <w:tc>
          <w:tcPr>
            <w:tcW w:w="1813" w:type="dxa"/>
            <w:vAlign w:val="center"/>
          </w:tcPr>
          <w:p>
            <w:pPr>
              <w:jc w:val="center"/>
              <w:rPr>
                <w:rFonts w:ascii="仿宋" w:hAnsi="仿宋" w:eastAsia="仿宋" w:cs="仿宋"/>
                <w:sz w:val="28"/>
                <w:szCs w:val="28"/>
              </w:rPr>
            </w:pPr>
            <w:r>
              <w:rPr>
                <w:rFonts w:hint="eastAsia" w:ascii="仿宋" w:hAnsi="仿宋" w:eastAsia="仿宋" w:cs="仿宋"/>
                <w:sz w:val="28"/>
                <w:szCs w:val="28"/>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7" w:type="dxa"/>
            <w:vAlign w:val="center"/>
          </w:tcPr>
          <w:p>
            <w:pPr>
              <w:jc w:val="center"/>
              <w:rPr>
                <w:rFonts w:ascii="仿宋" w:hAnsi="仿宋" w:eastAsia="仿宋" w:cs="仿宋"/>
                <w:sz w:val="28"/>
                <w:szCs w:val="28"/>
              </w:rPr>
            </w:pPr>
          </w:p>
        </w:tc>
        <w:tc>
          <w:tcPr>
            <w:tcW w:w="2408" w:type="dxa"/>
            <w:gridSpan w:val="2"/>
            <w:vAlign w:val="center"/>
          </w:tcPr>
          <w:p>
            <w:pPr>
              <w:jc w:val="center"/>
              <w:rPr>
                <w:rFonts w:ascii="仿宋" w:hAnsi="仿宋" w:eastAsia="仿宋" w:cs="仿宋"/>
                <w:sz w:val="28"/>
                <w:szCs w:val="28"/>
              </w:rPr>
            </w:pPr>
          </w:p>
        </w:tc>
        <w:tc>
          <w:tcPr>
            <w:tcW w:w="1801" w:type="dxa"/>
            <w:gridSpan w:val="2"/>
            <w:vAlign w:val="center"/>
          </w:tcPr>
          <w:p>
            <w:pPr>
              <w:jc w:val="center"/>
              <w:rPr>
                <w:rFonts w:ascii="仿宋" w:hAnsi="仿宋" w:eastAsia="仿宋" w:cs="仿宋"/>
                <w:sz w:val="28"/>
                <w:szCs w:val="28"/>
              </w:rPr>
            </w:pPr>
          </w:p>
        </w:tc>
        <w:tc>
          <w:tcPr>
            <w:tcW w:w="1813" w:type="dxa"/>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7" w:type="dxa"/>
            <w:vAlign w:val="center"/>
          </w:tcPr>
          <w:p>
            <w:pPr>
              <w:jc w:val="center"/>
              <w:rPr>
                <w:rFonts w:ascii="仿宋" w:hAnsi="仿宋" w:eastAsia="仿宋" w:cs="仿宋"/>
                <w:sz w:val="28"/>
                <w:szCs w:val="28"/>
              </w:rPr>
            </w:pPr>
          </w:p>
        </w:tc>
        <w:tc>
          <w:tcPr>
            <w:tcW w:w="2408" w:type="dxa"/>
            <w:gridSpan w:val="2"/>
            <w:vAlign w:val="center"/>
          </w:tcPr>
          <w:p>
            <w:pPr>
              <w:jc w:val="center"/>
              <w:rPr>
                <w:rFonts w:ascii="仿宋" w:hAnsi="仿宋" w:eastAsia="仿宋" w:cs="仿宋"/>
                <w:sz w:val="28"/>
                <w:szCs w:val="28"/>
              </w:rPr>
            </w:pPr>
          </w:p>
        </w:tc>
        <w:tc>
          <w:tcPr>
            <w:tcW w:w="1801" w:type="dxa"/>
            <w:gridSpan w:val="2"/>
            <w:vAlign w:val="center"/>
          </w:tcPr>
          <w:p>
            <w:pPr>
              <w:jc w:val="center"/>
              <w:rPr>
                <w:rFonts w:ascii="仿宋" w:hAnsi="仿宋" w:eastAsia="仿宋" w:cs="仿宋"/>
                <w:sz w:val="28"/>
                <w:szCs w:val="28"/>
              </w:rPr>
            </w:pPr>
          </w:p>
        </w:tc>
        <w:tc>
          <w:tcPr>
            <w:tcW w:w="1813" w:type="dxa"/>
            <w:vAlign w:val="center"/>
          </w:tcPr>
          <w:p>
            <w:pPr>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9" w:type="dxa"/>
            <w:gridSpan w:val="6"/>
            <w:vAlign w:val="center"/>
          </w:tcPr>
          <w:p>
            <w:pPr>
              <w:jc w:val="center"/>
              <w:rPr>
                <w:rFonts w:ascii="仿宋" w:hAnsi="仿宋" w:eastAsia="仿宋" w:cs="仿宋"/>
                <w:sz w:val="28"/>
                <w:szCs w:val="28"/>
              </w:rPr>
            </w:pPr>
            <w:r>
              <w:rPr>
                <w:rFonts w:hint="eastAsia" w:ascii="仿宋" w:hAnsi="仿宋" w:eastAsia="仿宋" w:cs="仿宋"/>
                <w:b/>
                <w:bCs/>
                <w:sz w:val="28"/>
                <w:szCs w:val="28"/>
              </w:rPr>
              <w:t>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9" w:type="dxa"/>
            <w:gridSpan w:val="6"/>
            <w:vAlign w:val="center"/>
          </w:tcPr>
          <w:p>
            <w:pPr>
              <w:ind w:firstLine="560" w:firstLineChars="200"/>
              <w:rPr>
                <w:rFonts w:ascii="仿宋" w:hAnsi="仿宋" w:eastAsia="仿宋" w:cs="仿宋"/>
                <w:sz w:val="28"/>
                <w:szCs w:val="28"/>
              </w:rPr>
            </w:pPr>
            <w:r>
              <w:rPr>
                <w:rFonts w:ascii="仿宋" w:hAnsi="仿宋" w:eastAsia="仿宋" w:cs="仿宋"/>
                <w:sz w:val="28"/>
                <w:szCs w:val="28"/>
              </w:rPr>
              <w:t>本人承诺所报送的材料为</w:t>
            </w:r>
            <w:r>
              <w:rPr>
                <w:rFonts w:hint="eastAsia" w:ascii="仿宋" w:hAnsi="仿宋" w:eastAsia="仿宋" w:cs="仿宋"/>
                <w:sz w:val="28"/>
                <w:szCs w:val="28"/>
              </w:rPr>
              <w:t>团队</w:t>
            </w:r>
            <w:r>
              <w:rPr>
                <w:rFonts w:ascii="仿宋" w:hAnsi="仿宋" w:eastAsia="仿宋" w:cs="仿宋"/>
                <w:sz w:val="28"/>
                <w:szCs w:val="28"/>
              </w:rPr>
              <w:t>原创，无版权问题，并同意将参与征集活动的文字资料（包括电子与纸质资料）、音像制品及因活动形成的所有智力成果免费公开以供交流学习。</w:t>
            </w:r>
          </w:p>
          <w:p>
            <w:pPr>
              <w:ind w:firstLine="560" w:firstLineChars="200"/>
              <w:jc w:val="left"/>
              <w:rPr>
                <w:rFonts w:ascii="仿宋" w:hAnsi="仿宋" w:eastAsia="仿宋" w:cs="仿宋"/>
                <w:sz w:val="28"/>
                <w:szCs w:val="28"/>
              </w:rPr>
            </w:pPr>
            <w:r>
              <w:rPr>
                <w:rFonts w:hint="eastAsia" w:ascii="仿宋" w:hAnsi="仿宋" w:eastAsia="仿宋" w:cs="仿宋"/>
                <w:sz w:val="28"/>
                <w:szCs w:val="28"/>
              </w:rPr>
              <w:t>团队负责人</w:t>
            </w:r>
            <w:r>
              <w:rPr>
                <w:rFonts w:ascii="仿宋" w:hAnsi="仿宋" w:eastAsia="仿宋" w:cs="仿宋"/>
                <w:sz w:val="28"/>
                <w:szCs w:val="28"/>
              </w:rPr>
              <w:t>：（手写签字）</w:t>
            </w:r>
          </w:p>
          <w:p>
            <w:pPr>
              <w:ind w:firstLine="560" w:firstLineChars="200"/>
              <w:jc w:val="left"/>
              <w:rPr>
                <w:rFonts w:ascii="仿宋" w:hAnsi="仿宋" w:eastAsia="仿宋" w:cs="仿宋"/>
                <w:sz w:val="28"/>
                <w:szCs w:val="28"/>
              </w:rPr>
            </w:pPr>
            <w:r>
              <w:rPr>
                <w:rFonts w:ascii="仿宋" w:hAnsi="仿宋" w:eastAsia="仿宋" w:cs="仿宋"/>
                <w:sz w:val="28"/>
                <w:szCs w:val="28"/>
              </w:rPr>
              <w:t>学校盖章：</w:t>
            </w:r>
          </w:p>
          <w:p>
            <w:pPr>
              <w:ind w:firstLine="560" w:firstLineChars="200"/>
              <w:jc w:val="left"/>
              <w:rPr>
                <w:rFonts w:ascii="仿宋" w:hAnsi="仿宋" w:eastAsia="仿宋" w:cs="仿宋"/>
                <w:sz w:val="28"/>
                <w:szCs w:val="28"/>
              </w:rPr>
            </w:pPr>
          </w:p>
          <w:p>
            <w:pPr>
              <w:ind w:firstLine="560" w:firstLineChars="200"/>
              <w:jc w:val="right"/>
              <w:rPr>
                <w:rFonts w:ascii="仿宋" w:hAnsi="仿宋" w:eastAsia="仿宋" w:cs="仿宋"/>
                <w:sz w:val="28"/>
                <w:szCs w:val="28"/>
              </w:rPr>
            </w:pPr>
            <w:r>
              <w:rPr>
                <w:rFonts w:ascii="仿宋" w:hAnsi="仿宋" w:eastAsia="仿宋" w:cs="仿宋"/>
                <w:sz w:val="28"/>
                <w:szCs w:val="28"/>
              </w:rPr>
              <w:t>年     月     日</w:t>
            </w:r>
          </w:p>
        </w:tc>
      </w:tr>
    </w:tbl>
    <w:p>
      <w:pPr>
        <w:pStyle w:val="2"/>
      </w:pPr>
      <w:r>
        <w:rPr>
          <w:rFonts w:hint="eastAsia" w:ascii="仿宋" w:hAnsi="仿宋" w:eastAsia="仿宋" w:cs="仿宋"/>
          <w:sz w:val="28"/>
          <w:szCs w:val="28"/>
        </w:rPr>
        <w:t>注：</w:t>
      </w:r>
      <w:r>
        <w:fldChar w:fldCharType="begin"/>
      </w:r>
      <w:r>
        <w:instrText xml:space="preserve"> HYPERLINK "mailto:请将本表PDF格式文件与其他材料一同发送至zzwj@fltrp.com。" </w:instrText>
      </w:r>
      <w:r>
        <w:fldChar w:fldCharType="separate"/>
      </w:r>
      <w:r>
        <w:rPr>
          <w:rStyle w:val="21"/>
          <w:rFonts w:hint="eastAsia" w:ascii="仿宋" w:hAnsi="仿宋" w:eastAsia="仿宋" w:cs="仿宋"/>
          <w:color w:val="auto"/>
          <w:sz w:val="28"/>
          <w:szCs w:val="28"/>
          <w:u w:val="none"/>
        </w:rPr>
        <w:t>请将本表PDF格式文件与其他材料一同发送至</w:t>
      </w:r>
      <w:bookmarkStart w:id="0" w:name="_GoBack"/>
      <w:r>
        <w:rPr>
          <w:rStyle w:val="21"/>
          <w:rFonts w:hint="eastAsia" w:ascii="仿宋" w:hAnsi="仿宋" w:eastAsia="仿宋" w:cs="仿宋"/>
          <w:color w:val="auto"/>
          <w:sz w:val="28"/>
          <w:szCs w:val="28"/>
          <w:u w:val="none"/>
          <w:lang w:eastAsia="zh-CN"/>
        </w:rPr>
        <w:t>245164743@qq.com</w:t>
      </w:r>
      <w:bookmarkEnd w:id="0"/>
      <w:r>
        <w:rPr>
          <w:rStyle w:val="21"/>
          <w:rFonts w:hint="eastAsia" w:ascii="仿宋" w:hAnsi="仿宋" w:eastAsia="仿宋" w:cs="仿宋"/>
          <w:color w:val="auto"/>
          <w:sz w:val="28"/>
          <w:szCs w:val="28"/>
          <w:u w:val="none"/>
        </w:rPr>
        <w:t>。</w:t>
      </w:r>
      <w:r>
        <w:rPr>
          <w:rStyle w:val="21"/>
          <w:rFonts w:hint="eastAsia" w:ascii="仿宋" w:hAnsi="仿宋" w:eastAsia="仿宋" w:cs="仿宋"/>
          <w:color w:val="auto"/>
          <w:sz w:val="28"/>
          <w:szCs w:val="28"/>
          <w:u w:val="none"/>
        </w:rPr>
        <w:fldChar w:fldCharType="end"/>
      </w:r>
    </w:p>
    <w:sectPr>
      <w:headerReference r:id="rId3" w:type="default"/>
      <w:footerReference r:id="rId4" w:type="default"/>
      <w:pgSz w:w="11906" w:h="16838"/>
      <w:pgMar w:top="1701"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EACF82-A51C-4FC9-A97B-53CD2FFE68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D27453D2-BD1C-4E11-BC68-8D63A1E130A1}"/>
  </w:font>
  <w:font w:name="仿宋">
    <w:panose1 w:val="02010609060101010101"/>
    <w:charset w:val="86"/>
    <w:family w:val="modern"/>
    <w:pitch w:val="default"/>
    <w:sig w:usb0="800002BF" w:usb1="38CF7CFA" w:usb2="00000016" w:usb3="00000000" w:csb0="00040001" w:csb1="00000000"/>
    <w:embedRegular r:id="rId3" w:fontKey="{027D4115-71B3-4D41-9422-503FCF8AE413}"/>
  </w:font>
  <w:font w:name="Wingdings 2">
    <w:panose1 w:val="05020102010507070707"/>
    <w:charset w:val="02"/>
    <w:family w:val="roman"/>
    <w:pitch w:val="default"/>
    <w:sig w:usb0="00000000" w:usb1="00000000" w:usb2="00000000" w:usb3="00000000" w:csb0="80000000" w:csb1="00000000"/>
    <w:embedRegular r:id="rId4" w:fontKey="{4319C50D-91D1-414D-B6CE-293291CC782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252"/>
        <w:tab w:val="center" w:pos="4337"/>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36</w:t>
                    </w:r>
                    <w:r>
                      <w:fldChar w:fldCharType="end"/>
                    </w:r>
                  </w:p>
                </w:txbxContent>
              </v:textbox>
            </v:shape>
          </w:pict>
        </mc:Fallback>
      </mc:AlternateContent>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64E12"/>
    <w:multiLevelType w:val="singleLevel"/>
    <w:tmpl w:val="B8364E1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hNjE4MDg3MjFjZjRlNTg1MTI1ZWRjNGMxZmE3YjMifQ=="/>
  </w:docVars>
  <w:rsids>
    <w:rsidRoot w:val="00000000"/>
    <w:rsid w:val="0B92230F"/>
    <w:rsid w:val="7A5E14FE"/>
    <w:rsid w:val="BF7F28D0"/>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nhideWhenUsed="0" w:uiPriority="0" w:semiHidden="0" w:name="List 5"/>
    <w:lsdException w:uiPriority="0" w:name="List Bullet 2"/>
    <w:lsdException w:uiPriority="0" w:name="List Bullet 3"/>
    <w:lsdException w:unhideWhenUsed="0" w:uiPriority="0" w:semiHidden="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99" w:semiHidden="0" w:name="Closing"/>
    <w:lsdException w:uiPriority="0" w:name="Signature"/>
    <w:lsdException w:qFormat="1" w:uiPriority="1" w:semiHidden="0" w:name="Default Paragraph Font"/>
    <w:lsdException w:uiPriority="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99" w:semiHidden="0" w:name="Salutation"/>
    <w:lsdException w:qFormat="1" w:unhideWhenUsed="0" w:uiPriority="0" w:semiHidden="0" w:name="Date"/>
    <w:lsdException w:uiPriority="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cs="宋体" w:eastAsiaTheme="minorEastAsia"/>
      <w:kern w:val="2"/>
      <w:sz w:val="21"/>
      <w:szCs w:val="22"/>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8">
    <w:name w:val="Default Paragraph Font"/>
    <w:autoRedefine/>
    <w:unhideWhenUsed/>
    <w:qFormat/>
    <w:uiPriority w:val="1"/>
  </w:style>
  <w:style w:type="table" w:default="1" w:styleId="16">
    <w:name w:val="Normal Table"/>
    <w:autoRedefine/>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b/>
      <w:sz w:val="32"/>
    </w:rPr>
  </w:style>
  <w:style w:type="paragraph" w:styleId="5">
    <w:name w:val="annotation text"/>
    <w:basedOn w:val="1"/>
    <w:link w:val="29"/>
    <w:autoRedefine/>
    <w:qFormat/>
    <w:uiPriority w:val="0"/>
    <w:pPr>
      <w:jc w:val="left"/>
    </w:pPr>
  </w:style>
  <w:style w:type="paragraph" w:styleId="6">
    <w:name w:val="Salutation"/>
    <w:basedOn w:val="1"/>
    <w:next w:val="1"/>
    <w:link w:val="24"/>
    <w:autoRedefine/>
    <w:qFormat/>
    <w:uiPriority w:val="99"/>
    <w:rPr>
      <w:sz w:val="24"/>
    </w:rPr>
  </w:style>
  <w:style w:type="paragraph" w:styleId="7">
    <w:name w:val="Closing"/>
    <w:basedOn w:val="1"/>
    <w:link w:val="25"/>
    <w:autoRedefine/>
    <w:qFormat/>
    <w:uiPriority w:val="99"/>
    <w:pPr>
      <w:ind w:left="100" w:leftChars="2100"/>
    </w:pPr>
    <w:rPr>
      <w:sz w:val="24"/>
    </w:rPr>
  </w:style>
  <w:style w:type="paragraph" w:styleId="8">
    <w:name w:val="Body Text Indent"/>
    <w:basedOn w:val="1"/>
    <w:autoRedefine/>
    <w:unhideWhenUsed/>
    <w:qFormat/>
    <w:uiPriority w:val="99"/>
    <w:pPr>
      <w:spacing w:after="120"/>
      <w:ind w:left="420" w:leftChars="200"/>
    </w:pPr>
    <w:rPr>
      <w:kern w:val="0"/>
      <w:sz w:val="20"/>
      <w:szCs w:val="20"/>
    </w:rPr>
  </w:style>
  <w:style w:type="paragraph" w:styleId="9">
    <w:name w:val="Date"/>
    <w:basedOn w:val="1"/>
    <w:next w:val="1"/>
    <w:link w:val="31"/>
    <w:autoRedefine/>
    <w:qFormat/>
    <w:uiPriority w:val="0"/>
    <w:pPr>
      <w:ind w:left="100" w:leftChars="2500"/>
    </w:pPr>
  </w:style>
  <w:style w:type="paragraph" w:styleId="10">
    <w:name w:val="Balloon Text"/>
    <w:basedOn w:val="1"/>
    <w:link w:val="28"/>
    <w:autoRedefine/>
    <w:qFormat/>
    <w:uiPriority w:val="99"/>
    <w:rPr>
      <w:sz w:val="18"/>
      <w:szCs w:val="18"/>
    </w:rPr>
  </w:style>
  <w:style w:type="paragraph" w:styleId="11">
    <w:name w:val="footer"/>
    <w:basedOn w:val="1"/>
    <w:link w:val="27"/>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spacing w:beforeAutospacing="1" w:afterAutospacing="1"/>
      <w:jc w:val="left"/>
    </w:pPr>
    <w:rPr>
      <w:rFonts w:cs="Times New Roman"/>
      <w:kern w:val="0"/>
      <w:sz w:val="24"/>
    </w:rPr>
  </w:style>
  <w:style w:type="paragraph" w:styleId="14">
    <w:name w:val="annotation subject"/>
    <w:basedOn w:val="5"/>
    <w:next w:val="5"/>
    <w:link w:val="30"/>
    <w:qFormat/>
    <w:uiPriority w:val="0"/>
    <w:rPr>
      <w:b/>
      <w:bCs/>
    </w:rPr>
  </w:style>
  <w:style w:type="paragraph" w:styleId="15">
    <w:name w:val="Body Text First Indent 2"/>
    <w:basedOn w:val="8"/>
    <w:autoRedefine/>
    <w:unhideWhenUsed/>
    <w:qFormat/>
    <w:uiPriority w:val="99"/>
    <w:pPr>
      <w:ind w:firstLine="42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0"/>
    <w:rPr>
      <w:b/>
    </w:rPr>
  </w:style>
  <w:style w:type="character" w:styleId="20">
    <w:name w:val="Emphasis"/>
    <w:basedOn w:val="18"/>
    <w:autoRedefine/>
    <w:qFormat/>
    <w:uiPriority w:val="0"/>
    <w:rPr>
      <w:i/>
    </w:rPr>
  </w:style>
  <w:style w:type="character" w:styleId="21">
    <w:name w:val="Hyperlink"/>
    <w:basedOn w:val="18"/>
    <w:autoRedefine/>
    <w:qFormat/>
    <w:uiPriority w:val="0"/>
    <w:rPr>
      <w:color w:val="0000FF" w:themeColor="hyperlink"/>
      <w:u w:val="single"/>
      <w14:textFill>
        <w14:solidFill>
          <w14:schemeClr w14:val="hlink"/>
        </w14:solidFill>
      </w14:textFill>
    </w:rPr>
  </w:style>
  <w:style w:type="character" w:styleId="22">
    <w:name w:val="annotation reference"/>
    <w:basedOn w:val="18"/>
    <w:autoRedefine/>
    <w:qFormat/>
    <w:uiPriority w:val="0"/>
    <w:rPr>
      <w:sz w:val="21"/>
      <w:szCs w:val="21"/>
    </w:rPr>
  </w:style>
  <w:style w:type="paragraph" w:customStyle="1" w:styleId="23">
    <w:name w:val="List Paragraph"/>
    <w:basedOn w:val="1"/>
    <w:autoRedefine/>
    <w:qFormat/>
    <w:uiPriority w:val="34"/>
    <w:pPr>
      <w:ind w:firstLine="420" w:firstLineChars="200"/>
    </w:pPr>
  </w:style>
  <w:style w:type="character" w:customStyle="1" w:styleId="24">
    <w:name w:val="称呼 Char"/>
    <w:basedOn w:val="18"/>
    <w:link w:val="6"/>
    <w:qFormat/>
    <w:uiPriority w:val="99"/>
    <w:rPr>
      <w:sz w:val="24"/>
    </w:rPr>
  </w:style>
  <w:style w:type="character" w:customStyle="1" w:styleId="25">
    <w:name w:val="结束语 Char"/>
    <w:basedOn w:val="18"/>
    <w:link w:val="7"/>
    <w:autoRedefine/>
    <w:qFormat/>
    <w:uiPriority w:val="99"/>
    <w:rPr>
      <w:sz w:val="24"/>
    </w:rPr>
  </w:style>
  <w:style w:type="character" w:customStyle="1" w:styleId="26">
    <w:name w:val="页眉 Char"/>
    <w:basedOn w:val="18"/>
    <w:link w:val="12"/>
    <w:autoRedefine/>
    <w:qFormat/>
    <w:uiPriority w:val="99"/>
    <w:rPr>
      <w:sz w:val="18"/>
      <w:szCs w:val="18"/>
    </w:rPr>
  </w:style>
  <w:style w:type="character" w:customStyle="1" w:styleId="27">
    <w:name w:val="页脚 Char"/>
    <w:basedOn w:val="18"/>
    <w:link w:val="11"/>
    <w:qFormat/>
    <w:uiPriority w:val="99"/>
    <w:rPr>
      <w:sz w:val="18"/>
      <w:szCs w:val="18"/>
    </w:rPr>
  </w:style>
  <w:style w:type="character" w:customStyle="1" w:styleId="28">
    <w:name w:val="批注框文本 Char"/>
    <w:basedOn w:val="18"/>
    <w:link w:val="10"/>
    <w:autoRedefine/>
    <w:qFormat/>
    <w:uiPriority w:val="99"/>
    <w:rPr>
      <w:sz w:val="18"/>
      <w:szCs w:val="18"/>
    </w:rPr>
  </w:style>
  <w:style w:type="character" w:customStyle="1" w:styleId="29">
    <w:name w:val="批注文字 Char"/>
    <w:basedOn w:val="18"/>
    <w:link w:val="5"/>
    <w:autoRedefine/>
    <w:qFormat/>
    <w:uiPriority w:val="0"/>
    <w:rPr>
      <w:rFonts w:ascii="Calibri" w:hAnsi="Calibri" w:cs="宋体"/>
      <w:kern w:val="2"/>
      <w:sz w:val="21"/>
      <w:szCs w:val="22"/>
    </w:rPr>
  </w:style>
  <w:style w:type="character" w:customStyle="1" w:styleId="30">
    <w:name w:val="批注主题 Char"/>
    <w:basedOn w:val="29"/>
    <w:link w:val="14"/>
    <w:qFormat/>
    <w:uiPriority w:val="0"/>
    <w:rPr>
      <w:rFonts w:ascii="Calibri" w:hAnsi="Calibri" w:cs="宋体"/>
      <w:b/>
      <w:bCs/>
      <w:kern w:val="2"/>
      <w:sz w:val="21"/>
      <w:szCs w:val="22"/>
    </w:rPr>
  </w:style>
  <w:style w:type="character" w:customStyle="1" w:styleId="31">
    <w:name w:val="日期 Char"/>
    <w:basedOn w:val="18"/>
    <w:link w:val="9"/>
    <w:autoRedefine/>
    <w:qFormat/>
    <w:uiPriority w:val="0"/>
    <w:rPr>
      <w:rFonts w:ascii="Calibri" w:hAnsi="Calibri" w:cs="宋体"/>
      <w:kern w:val="2"/>
      <w:sz w:val="21"/>
      <w:szCs w:val="22"/>
    </w:rPr>
  </w:style>
  <w:style w:type="paragraph" w:customStyle="1" w:styleId="32">
    <w:name w:val="修订1"/>
    <w:autoRedefine/>
    <w:hidden/>
    <w:semiHidden/>
    <w:qFormat/>
    <w:uiPriority w:val="99"/>
    <w:rPr>
      <w:rFonts w:ascii="Calibri" w:hAnsi="Calibri" w:cs="宋体" w:eastAsiaTheme="minorEastAsia"/>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Fltrp</Company>
  <Pages>38</Pages>
  <Words>11608</Words>
  <Characters>12104</Characters>
  <Lines>94</Lines>
  <Paragraphs>26</Paragraphs>
  <TotalTime>1</TotalTime>
  <ScaleCrop>false</ScaleCrop>
  <LinksUpToDate>false</LinksUpToDate>
  <CharactersWithSpaces>12463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2022-11-29T09:58:00Z</dcterms:created>
  <dc:creator>Administrator</dc:creator>
  <cp:lastModifiedBy>捡石头</cp:lastModifiedBy>
  <cp:lastPrinted>2022-05-10T14:04:00Z</cp:lastPrinted>
  <dcterms:modified xsi:type="dcterms:W3CDTF">2024-03-12T02:15:33Z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274FDDA53E2C4785B45844F146FC15C2_13</vt:lpwstr>
  </property>
  <property fmtid="{D5CDD505-2E9C-101B-9397-08002B2CF9AE}" pid="3" name="KSOProductBuildVer">
    <vt:lpwstr>2052-12.1.0.16399</vt:lpwstr>
  </property>
</Properties>
</file>